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152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Сафина Урала </w:t>
      </w:r>
      <w:r>
        <w:rPr>
          <w:rFonts w:ascii="Times New Roman" w:eastAsia="Times New Roman" w:hAnsi="Times New Roman" w:cs="Times New Roman"/>
          <w:sz w:val="28"/>
          <w:szCs w:val="28"/>
        </w:rPr>
        <w:t>Дамировича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7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</w:t>
      </w:r>
      <w:r>
        <w:rPr>
          <w:rFonts w:ascii="Times New Roman" w:eastAsia="Times New Roman" w:hAnsi="Times New Roman" w:cs="Times New Roman"/>
          <w:sz w:val="28"/>
          <w:szCs w:val="28"/>
        </w:rPr>
        <w:t>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OrganizationNamegrp-22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Style w:val="cat-UserDefinedgrp-3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>
        <w:rPr>
          <w:rStyle w:val="cat-UserDefinedgrp-4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дительское удостоверение: </w:t>
      </w:r>
      <w:r>
        <w:rPr>
          <w:rStyle w:val="cat-ExternalSystemDefinedgrp-3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ч.4 ст. 12.15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924 км а/д Р-404 Тюмень-Тобольск-Ханты-Мансийск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района,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управляя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22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совершении обгона впереди движущейся автомашины, выехал на полосу</w:t>
      </w:r>
      <w:r>
        <w:rPr>
          <w:rFonts w:ascii="Times New Roman" w:eastAsia="Times New Roman" w:hAnsi="Times New Roman" w:cs="Times New Roman"/>
          <w:sz w:val="28"/>
          <w:szCs w:val="28"/>
        </w:rPr>
        <w:t>, предназначенную для встречного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оне действия дорожного знака 3.20 «Обгон запрещен» и в нарушение требований разметки 1.1 «сплошная линия»,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</w:t>
      </w:r>
      <w:r>
        <w:rPr>
          <w:rFonts w:ascii="Times New Roman" w:eastAsia="Times New Roman" w:hAnsi="Times New Roman" w:cs="Times New Roman"/>
          <w:sz w:val="28"/>
          <w:szCs w:val="28"/>
        </w:rPr>
        <w:t>1.3, п. 9.1.1 П</w:t>
      </w:r>
      <w:r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 совершении административного правонарушения признал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пояснив,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успел завершить обгон,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умысла нарушать ПДД </w:t>
      </w:r>
      <w:r>
        <w:rPr>
          <w:rStyle w:val="cat-ExternalSystemDefinedgrp-36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него не было, т.к. действовал в условиях крайней необходимости. Все административные штрафы оплачивает. </w:t>
      </w:r>
      <w:r>
        <w:rPr>
          <w:rFonts w:ascii="Times New Roman" w:eastAsia="Times New Roman" w:hAnsi="Times New Roman" w:cs="Times New Roman"/>
          <w:sz w:val="28"/>
          <w:szCs w:val="28"/>
        </w:rPr>
        <w:t>Кроме того, пояснил, что н</w:t>
      </w:r>
      <w:r>
        <w:rPr>
          <w:rFonts w:ascii="Times New Roman" w:eastAsia="Times New Roman" w:hAnsi="Times New Roman" w:cs="Times New Roman"/>
          <w:sz w:val="28"/>
          <w:szCs w:val="28"/>
        </w:rPr>
        <w:t>а 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правонарушений, совершенных ранее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автомобилем управляли работники по договору аренды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подтверждается договорами аренды. Просит назначить минимальное наказание в виде штрафа.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выслушав Сафина У.Д.,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Сафина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полностью доказана и подтверждается следующими доказательствами: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Style w:val="cat-UserDefinedgrp-41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права и обязанности, предусмотренные 25.1 КоАП </w:t>
      </w:r>
      <w:r>
        <w:rPr>
          <w:rStyle w:val="cat-ExternalSystemDefinedgrp-36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ст. 51 Конституции </w:t>
      </w:r>
      <w:r>
        <w:rPr>
          <w:rStyle w:val="cat-ExternalSystemDefinedgrp-36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Сафину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разъяснены, что подтверждается его подписью в соответствующей графе протокола, копия протокола им получена, протокол подписан. Из протокола следует,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30.11.2023 в 08:42, на 924 км а/д Р-404 Тюмень-Тобольск-Ханты-Мансийск, Ханты-Мансийского района, управляя транспортным средством </w:t>
      </w:r>
      <w:r>
        <w:rPr>
          <w:rStyle w:val="cat-CarMakeModelgrp-26rplc-4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4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впереди движущейся автомашины, выехал на полосу, предназначенную для встречного движения, 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оне действия дорожного знака 3.20 «Обгон запрещен» и в нарушение требований разметки 1.1 «сплошная линия»,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чем нарушил п.1.3, п. 9.1.1 Правил дорожного движения Российской Федерации, утвержденных постановлением Правительства Российской Федерации от 23.10.1993 № 1090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схемой места совершения административного правонарушения,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схемой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30.11.2023 в 08:42, </w:t>
      </w:r>
      <w:r>
        <w:rPr>
          <w:rFonts w:ascii="Times New Roman" w:eastAsia="Times New Roman" w:hAnsi="Times New Roman" w:cs="Times New Roman"/>
          <w:sz w:val="28"/>
          <w:szCs w:val="28"/>
        </w:rPr>
        <w:t>на 924 км а/д Р-404 Тюмень-Тобольск-Ханты-Мансийск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Ханты-Мансийского района, управляя транспортным средством </w:t>
      </w:r>
      <w:r>
        <w:rPr>
          <w:rStyle w:val="cat-CarMakeModelgrp-26rplc-50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52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совершении обгона впереди движущейся автомашины, выехал на полосу, предназначенную для встречного движения, в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оне действия дорожного знака 3.20 «Обгон запрещен» и в нарушение требований разметки 1.1 «сплошная линия»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роты №1 ОБ ДПС ГИБДДД УМВД России по ХМАО-Югре,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30.11.2023 в 08:42, на 924 км а/д Р-404 Тюмень-Тобольск-Ханты-Мансийск, Ханты-Мансийского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видео было зафиксировано, как автомобиль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CarMakeModelgrp-26rplc-57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42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CarNumbergrp-27rplc-59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совершении обгона впереди движущейся автомашины, выехал на полосу, предназначенную для встречного движения, в зоне действия дорожного знака 3.20 «Обгон запрещен» и в нарушение требований разметки 1.1 «сплошная линия»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этого автомобиль был остановлен,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средством управлял </w:t>
      </w:r>
      <w:r>
        <w:rPr>
          <w:rFonts w:ascii="Times New Roman" w:eastAsia="Times New Roman" w:hAnsi="Times New Roman" w:cs="Times New Roman"/>
          <w:sz w:val="28"/>
          <w:szCs w:val="28"/>
        </w:rPr>
        <w:t>Сафин У.Д.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видеозаписью фиксации правонарушения,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подтверждается факт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Сафиным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при обстоятельствах, указанных в протоколе об административном правонарушении;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дислокацией дорожных знаков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924 </w:t>
      </w:r>
      <w:r>
        <w:rPr>
          <w:rFonts w:ascii="Times New Roman" w:eastAsia="Times New Roman" w:hAnsi="Times New Roman" w:cs="Times New Roman"/>
          <w:sz w:val="28"/>
          <w:szCs w:val="28"/>
        </w:rPr>
        <w:t>км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а/д Р-404 Тюмень-Тобольск-Ханты-Мансийск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4 статьи 12.15 Кодекса Российской Федерации об административных правонарушениях предусматривает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</w:t>
      </w:r>
      <w:r>
        <w:rPr>
          <w:rStyle w:val="cat-ExternalSystemDefinedgrp-36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июня 2019 года № 20 «О некоторых вопросах, возникающих у судов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</w:t>
      </w:r>
      <w:r>
        <w:rPr>
          <w:rStyle w:val="cat-ExternalSystemDefinedgrp-36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исключением случаев объезда препятствия (пункт 1.2 ПДД </w:t>
      </w:r>
      <w:r>
        <w:rPr>
          <w:rStyle w:val="cat-ExternalSystemDefinedgrp-36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которые квалифицируются по части 3 данной статьи), подлежат квалификации по части 4 статьи 12.15 КоАП </w:t>
      </w:r>
      <w:r>
        <w:rPr>
          <w:rStyle w:val="cat-ExternalSystemDefinedgrp-36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частью 4 статьи 12.15 КоАП </w:t>
      </w:r>
      <w:r>
        <w:rPr>
          <w:rStyle w:val="cat-ExternalSystemDefinedgrp-36rplc-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1.3. Правил дорожного движения (утверждены Постановлением Правительства </w:t>
      </w:r>
      <w:r>
        <w:rPr>
          <w:rStyle w:val="cat-ExternalSystemDefinedgrp-36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 октября 1993 г. N 1090),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Линия горизонтальной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разметки 1.1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Правилам дорожного движения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запрещен. </w:t>
      </w:r>
      <w:hyperlink r:id="rId4" w:anchor="/document/1305770/entry/10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установлен запрет на ее пересечение.</w:t>
      </w:r>
    </w:p>
    <w:p>
      <w:pPr>
        <w:spacing w:before="0" w:after="0" w:line="28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разъяснений, изложенных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"а" пункта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1.2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Правил), которые квалифицируются по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3 данной статьи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подлежат квалификации по </w:t>
      </w:r>
      <w:hyperlink r:id="rId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части 4 статьи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</w:t>
      </w:r>
      <w:r>
        <w:rPr>
          <w:rStyle w:val="cat-ExternalSystemDefinedgrp-36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 такие требования </w:t>
      </w:r>
      <w:hyperlink r:id="rId9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установлены, в частности, в следующих случаях: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(</w:t>
      </w:r>
      <w:hyperlink r:id="rId1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 9.1 (1)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 w:line="280" w:lineRule="atLeast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требований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 в соответствии с разъяснениями, изложенными в </w:t>
      </w:r>
      <w:hyperlink r:id="rId1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абзаце 5 пункта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25 июня 2019 года N 20 "О некоторых вопросах, возникающих в судебной практике при рассмотрении дел об административных правонарушениях, предусмотренных главой 12 Кодекса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правонарушениях", маневр обгона вне зависимости от того, где он был начат, должен быть завершен без нарушения требований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 есть, действия лица, выехавшего на полосу, предназначенную для встречного движения, с соблюдением требований </w:t>
      </w:r>
      <w:hyperlink r:id="rId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однако завершившего данный маневр в нарушение указанных требований, подлежат квалификации по </w:t>
      </w:r>
      <w:hyperlink r:id="rId1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ч. 4 ст. 12.15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Сафина У.Д.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действовал в условиях крайней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несостоятел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ен,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 обстоятельства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которых было совершено административное правонарушение, не отвечают условиям, при наличии которых в соответствии со </w:t>
      </w:r>
      <w:hyperlink r:id="rId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2.7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 возникает состояние крайней необходимости.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Сафиным У.Д.</w:t>
      </w:r>
      <w:r>
        <w:rPr>
          <w:rFonts w:ascii="Times New Roman" w:eastAsia="Times New Roman" w:hAnsi="Times New Roman" w:cs="Times New Roman"/>
          <w:sz w:val="28"/>
          <w:szCs w:val="28"/>
        </w:rPr>
        <w:t>, при совершении обгона требований дорожного знака 3.20, в совокупности с выездом на полосу дороги, предназначенную для встречного движения, которая разделена разметкой 1.1, образует состав рассматриваемого правонарушения.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Вина 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Сафина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доказательствами по делу.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Сафина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ч. 4 ст.12.15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как выезд в нарушение Правил дорожного движения на полосу, предназначенную для встречного движения, за исключением случаев, предусмотренных частью 3 настоящей статьи.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административного правонарушения. 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обстоятельства дела, мировой судья приходит к выводу, что </w:t>
      </w:r>
      <w:r>
        <w:rPr>
          <w:rFonts w:ascii="Times New Roman" w:eastAsia="Times New Roman" w:hAnsi="Times New Roman" w:cs="Times New Roman"/>
          <w:sz w:val="28"/>
          <w:szCs w:val="28"/>
        </w:rPr>
        <w:t>Сафину У.Д.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 назначить наказание в виде административного штрафа.</w:t>
      </w:r>
    </w:p>
    <w:p>
      <w:pPr>
        <w:spacing w:before="0" w:after="0"/>
        <w:ind w:right="26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6"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Сафина Урала </w:t>
      </w:r>
      <w:r>
        <w:rPr>
          <w:rFonts w:ascii="Times New Roman" w:eastAsia="Times New Roman" w:hAnsi="Times New Roman" w:cs="Times New Roman"/>
          <w:sz w:val="28"/>
          <w:szCs w:val="28"/>
        </w:rPr>
        <w:t>Дамировича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 административное наказание в виде административного штрафа в размере 5 000 (пять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должен быть уплачен на расчетный счет: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03100643000000018700, Получатель УФК по ХМАО-Югре (УМВД России по ХМАО-Югре) </w:t>
      </w:r>
      <w:r>
        <w:rPr>
          <w:rStyle w:val="cat-OrganizationNamegrp-23rplc-8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Ханты-Мансийск//УФК по ХМАО-Югре г. Ханты-Мансийск БИК 007162163 ОКТМО 718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8601010390 КПП </w:t>
      </w:r>
      <w:r>
        <w:rPr>
          <w:rFonts w:ascii="Times New Roman" w:eastAsia="Times New Roman" w:hAnsi="Times New Roman" w:cs="Times New Roman"/>
          <w:sz w:val="28"/>
          <w:szCs w:val="28"/>
        </w:rPr>
        <w:t>8601010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КБК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188 116 01123 01 0001 140 </w:t>
      </w:r>
      <w:r>
        <w:rPr>
          <w:rFonts w:ascii="Times New Roman" w:eastAsia="Times New Roman" w:hAnsi="Times New Roman" w:cs="Times New Roman"/>
          <w:sz w:val="28"/>
          <w:szCs w:val="28"/>
        </w:rPr>
        <w:t>УИН 18810</w:t>
      </w:r>
      <w:r>
        <w:rPr>
          <w:rFonts w:ascii="Times New Roman" w:eastAsia="Times New Roman" w:hAnsi="Times New Roman" w:cs="Times New Roman"/>
          <w:sz w:val="28"/>
          <w:szCs w:val="28"/>
        </w:rPr>
        <w:t>4862</w:t>
      </w:r>
      <w:r>
        <w:rPr>
          <w:rFonts w:ascii="Times New Roman" w:eastAsia="Times New Roman" w:hAnsi="Times New Roman" w:cs="Times New Roman"/>
          <w:sz w:val="28"/>
          <w:szCs w:val="28"/>
        </w:rPr>
        <w:t>30910056650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уплате административного штрафа лицом, привлеченным к административной ответственности за</w:t>
      </w:r>
      <w:r>
        <w:rPr>
          <w:rFonts w:ascii="Times New Roman" w:eastAsia="Times New Roman" w:hAnsi="Times New Roman" w:cs="Times New Roman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tabs>
          <w:tab w:val="left" w:pos="6495"/>
        </w:tabs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Р.В. 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7rplc-7">
    <w:name w:val="cat-ExternalSystemDefined grp-37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OrganizationNamegrp-22rplc-9">
    <w:name w:val="cat-OrganizationName grp-22 rplc-9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12">
    <w:name w:val="cat-UserDefined grp-40 rplc-12"/>
    <w:basedOn w:val="DefaultParagraphFont"/>
  </w:style>
  <w:style w:type="character" w:customStyle="1" w:styleId="cat-ExternalSystemDefinedgrp-38rplc-14">
    <w:name w:val="cat-ExternalSystemDefined grp-38 rplc-14"/>
    <w:basedOn w:val="DefaultParagraphFont"/>
  </w:style>
  <w:style w:type="character" w:customStyle="1" w:styleId="cat-ExternalSystemDefinedgrp-35rplc-16">
    <w:name w:val="cat-ExternalSystemDefined grp-35 rplc-16"/>
    <w:basedOn w:val="DefaultParagraphFont"/>
  </w:style>
  <w:style w:type="character" w:customStyle="1" w:styleId="cat-CarMakeModelgrp-26rplc-22">
    <w:name w:val="cat-CarMakeModel grp-26 rplc-22"/>
    <w:basedOn w:val="DefaultParagraphFont"/>
  </w:style>
  <w:style w:type="character" w:customStyle="1" w:styleId="cat-UserDefinedgrp-42rplc-23">
    <w:name w:val="cat-UserDefined grp-42 rplc-23"/>
    <w:basedOn w:val="DefaultParagraphFont"/>
  </w:style>
  <w:style w:type="character" w:customStyle="1" w:styleId="cat-CarNumbergrp-27rplc-24">
    <w:name w:val="cat-CarNumber grp-27 rplc-24"/>
    <w:basedOn w:val="DefaultParagraphFont"/>
  </w:style>
  <w:style w:type="character" w:customStyle="1" w:styleId="cat-ExternalSystemDefinedgrp-36rplc-27">
    <w:name w:val="cat-ExternalSystemDefined grp-36 rplc-27"/>
    <w:basedOn w:val="DefaultParagraphFont"/>
  </w:style>
  <w:style w:type="character" w:customStyle="1" w:styleId="cat-UserDefinedgrp-41rplc-30">
    <w:name w:val="cat-UserDefined grp-41 rplc-30"/>
    <w:basedOn w:val="DefaultParagraphFont"/>
  </w:style>
  <w:style w:type="character" w:customStyle="1" w:styleId="cat-ExternalSystemDefinedgrp-36rplc-32">
    <w:name w:val="cat-ExternalSystemDefined grp-36 rplc-32"/>
    <w:basedOn w:val="DefaultParagraphFont"/>
  </w:style>
  <w:style w:type="character" w:customStyle="1" w:styleId="cat-ExternalSystemDefinedgrp-36rplc-33">
    <w:name w:val="cat-ExternalSystemDefined grp-36 rplc-33"/>
    <w:basedOn w:val="DefaultParagraphFont"/>
  </w:style>
  <w:style w:type="character" w:customStyle="1" w:styleId="cat-CarMakeModelgrp-26rplc-40">
    <w:name w:val="cat-CarMakeModel grp-26 rplc-40"/>
    <w:basedOn w:val="DefaultParagraphFont"/>
  </w:style>
  <w:style w:type="character" w:customStyle="1" w:styleId="cat-UserDefinedgrp-42rplc-41">
    <w:name w:val="cat-UserDefined grp-42 rplc-41"/>
    <w:basedOn w:val="DefaultParagraphFont"/>
  </w:style>
  <w:style w:type="character" w:customStyle="1" w:styleId="cat-CarNumbergrp-27rplc-42">
    <w:name w:val="cat-CarNumber grp-27 rplc-42"/>
    <w:basedOn w:val="DefaultParagraphFont"/>
  </w:style>
  <w:style w:type="character" w:customStyle="1" w:styleId="cat-CarMakeModelgrp-26rplc-50">
    <w:name w:val="cat-CarMakeModel grp-26 rplc-50"/>
    <w:basedOn w:val="DefaultParagraphFont"/>
  </w:style>
  <w:style w:type="character" w:customStyle="1" w:styleId="cat-UserDefinedgrp-42rplc-51">
    <w:name w:val="cat-UserDefined grp-42 rplc-51"/>
    <w:basedOn w:val="DefaultParagraphFont"/>
  </w:style>
  <w:style w:type="character" w:customStyle="1" w:styleId="cat-CarNumbergrp-27rplc-52">
    <w:name w:val="cat-CarNumber grp-27 rplc-52"/>
    <w:basedOn w:val="DefaultParagraphFont"/>
  </w:style>
  <w:style w:type="character" w:customStyle="1" w:styleId="cat-CarMakeModelgrp-26rplc-57">
    <w:name w:val="cat-CarMakeModel grp-26 rplc-57"/>
    <w:basedOn w:val="DefaultParagraphFont"/>
  </w:style>
  <w:style w:type="character" w:customStyle="1" w:styleId="cat-UserDefinedgrp-42rplc-58">
    <w:name w:val="cat-UserDefined grp-42 rplc-58"/>
    <w:basedOn w:val="DefaultParagraphFont"/>
  </w:style>
  <w:style w:type="character" w:customStyle="1" w:styleId="cat-CarNumbergrp-27rplc-59">
    <w:name w:val="cat-CarNumber grp-27 rplc-59"/>
    <w:basedOn w:val="DefaultParagraphFont"/>
  </w:style>
  <w:style w:type="character" w:customStyle="1" w:styleId="cat-ExternalSystemDefinedgrp-36rplc-63">
    <w:name w:val="cat-ExternalSystemDefined grp-36 rplc-63"/>
    <w:basedOn w:val="DefaultParagraphFont"/>
  </w:style>
  <w:style w:type="character" w:customStyle="1" w:styleId="cat-ExternalSystemDefinedgrp-36rplc-65">
    <w:name w:val="cat-ExternalSystemDefined grp-36 rplc-65"/>
    <w:basedOn w:val="DefaultParagraphFont"/>
  </w:style>
  <w:style w:type="character" w:customStyle="1" w:styleId="cat-ExternalSystemDefinedgrp-36rplc-66">
    <w:name w:val="cat-ExternalSystemDefined grp-36 rplc-66"/>
    <w:basedOn w:val="DefaultParagraphFont"/>
  </w:style>
  <w:style w:type="character" w:customStyle="1" w:styleId="cat-ExternalSystemDefinedgrp-36rplc-67">
    <w:name w:val="cat-ExternalSystemDefined grp-36 rplc-67"/>
    <w:basedOn w:val="DefaultParagraphFont"/>
  </w:style>
  <w:style w:type="character" w:customStyle="1" w:styleId="cat-ExternalSystemDefinedgrp-36rplc-68">
    <w:name w:val="cat-ExternalSystemDefined grp-36 rplc-68"/>
    <w:basedOn w:val="DefaultParagraphFont"/>
  </w:style>
  <w:style w:type="character" w:customStyle="1" w:styleId="cat-ExternalSystemDefinedgrp-36rplc-69">
    <w:name w:val="cat-ExternalSystemDefined grp-36 rplc-69"/>
    <w:basedOn w:val="DefaultParagraphFont"/>
  </w:style>
  <w:style w:type="character" w:customStyle="1" w:styleId="cat-ExternalSystemDefinedgrp-36rplc-72">
    <w:name w:val="cat-ExternalSystemDefined grp-36 rplc-72"/>
    <w:basedOn w:val="DefaultParagraphFont"/>
  </w:style>
  <w:style w:type="character" w:customStyle="1" w:styleId="cat-OrganizationNamegrp-23rplc-82">
    <w:name w:val="cat-OrganizationName grp-23 rplc-82"/>
    <w:basedOn w:val="DefaultParagraphFont"/>
  </w:style>
  <w:style w:type="character" w:customStyle="1" w:styleId="cat-UserDefinedgrp-44rplc-90">
    <w:name w:val="cat-UserDefined grp-44 rplc-90"/>
    <w:basedOn w:val="DefaultParagraphFont"/>
  </w:style>
  <w:style w:type="character" w:customStyle="1" w:styleId="cat-UserDefinedgrp-45rplc-93">
    <w:name w:val="cat-UserDefined grp-45 rplc-9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28459&amp;dst=377&amp;field=134&amp;date=23.01.2024" TargetMode="External" /><Relationship Id="rId11" Type="http://schemas.openxmlformats.org/officeDocument/2006/relationships/hyperlink" Target="https://login.consultant.ru/link/?req=doc&amp;demo=2&amp;base=LAW&amp;n=312940&amp;dst=100015&amp;field=134&amp;date=27.08.2023" TargetMode="External" /><Relationship Id="rId12" Type="http://schemas.openxmlformats.org/officeDocument/2006/relationships/hyperlink" Target="https://login.consultant.ru/link/?req=doc&amp;demo=2&amp;base=LAW&amp;n=327611&amp;dst=100096&amp;field=134&amp;date=27.08.2023" TargetMode="External" /><Relationship Id="rId13" Type="http://schemas.openxmlformats.org/officeDocument/2006/relationships/hyperlink" Target="https://login.consultant.ru/link/?req=doc&amp;demo=2&amp;base=LAW&amp;n=330401&amp;dst=2255&amp;field=134&amp;date=27.08.2023" TargetMode="External" /><Relationship Id="rId14" Type="http://schemas.openxmlformats.org/officeDocument/2006/relationships/hyperlink" Target="https://login.consultant.ru/link/?req=doc&amp;demo=2&amp;base=LAW&amp;n=422113&amp;dst=100060&amp;field=134&amp;date=28.02.2024" TargetMode="Externa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login.consultant.ru/link/?req=doc&amp;demo=2&amp;base=LAW&amp;n=327611&amp;dst=100086&amp;field=134&amp;date=23.01.2024" TargetMode="External" /><Relationship Id="rId6" Type="http://schemas.openxmlformats.org/officeDocument/2006/relationships/hyperlink" Target="https://login.consultant.ru/link/?req=doc&amp;demo=2&amp;base=LAW&amp;n=428459&amp;dst=100020&amp;field=134&amp;date=23.01.2024" TargetMode="External" /><Relationship Id="rId7" Type="http://schemas.openxmlformats.org/officeDocument/2006/relationships/hyperlink" Target="https://login.consultant.ru/link/?req=doc&amp;demo=2&amp;base=LAW&amp;n=449656&amp;dst=3867&amp;field=134&amp;date=23.01.2024" TargetMode="External" /><Relationship Id="rId8" Type="http://schemas.openxmlformats.org/officeDocument/2006/relationships/hyperlink" Target="https://login.consultant.ru/link/?req=doc&amp;demo=2&amp;base=LAW&amp;n=449656&amp;dst=2255&amp;field=134&amp;date=23.01.2024" TargetMode="External" /><Relationship Id="rId9" Type="http://schemas.openxmlformats.org/officeDocument/2006/relationships/hyperlink" Target="https://login.consultant.ru/link/?req=doc&amp;demo=2&amp;base=LAW&amp;n=428459&amp;dst=100015&amp;field=134&amp;date=23.01.2024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